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773465890"/>
        <w:docPartObj>
          <w:docPartGallery w:val="Table of Contents"/>
          <w:docPartUnique/>
        </w:docPartObj>
      </w:sdtPr>
      <w:sdtEndPr>
        <w:rPr>
          <w:rFonts w:ascii="Arial" w:eastAsiaTheme="minorEastAsia" w:hAnsi="Arial" w:cs="Arial"/>
          <w:color w:val="auto"/>
          <w:sz w:val="24"/>
          <w:szCs w:val="24"/>
          <w:lang w:eastAsia="ja-JP"/>
        </w:rPr>
      </w:sdtEndPr>
      <w:sdtContent>
        <w:p w:rsidR="00F758D8" w:rsidRDefault="00F758D8" w:rsidP="00F758D8">
          <w:pPr>
            <w:pStyle w:val="TtulodeTDC"/>
            <w:jc w:val="center"/>
            <w:rPr>
              <w:rFonts w:ascii="Arial" w:hAnsi="Arial" w:cs="Arial"/>
              <w:sz w:val="36"/>
              <w:szCs w:val="36"/>
              <w:lang w:val="es-ES"/>
            </w:rPr>
          </w:pPr>
          <w:r w:rsidRPr="00F758D8">
            <w:rPr>
              <w:rFonts w:ascii="Arial" w:hAnsi="Arial" w:cs="Arial"/>
              <w:sz w:val="36"/>
              <w:szCs w:val="36"/>
              <w:lang w:val="es-ES"/>
            </w:rPr>
            <w:t>CONTENIDO</w:t>
          </w:r>
        </w:p>
        <w:p w:rsidR="00F758D8" w:rsidRPr="00F758D8" w:rsidRDefault="00F758D8" w:rsidP="00F758D8">
          <w:pPr>
            <w:rPr>
              <w:lang w:eastAsia="es-MX"/>
            </w:rPr>
          </w:pPr>
        </w:p>
        <w:p w:rsidR="00F758D8" w:rsidRPr="00F758D8" w:rsidRDefault="00F758D8" w:rsidP="00F758D8">
          <w:pPr>
            <w:pStyle w:val="TDC1"/>
            <w:tabs>
              <w:tab w:val="left" w:pos="440"/>
              <w:tab w:val="right" w:leader="dot" w:pos="8830"/>
            </w:tabs>
            <w:jc w:val="both"/>
            <w:rPr>
              <w:rFonts w:ascii="Arial" w:hAnsi="Arial" w:cs="Arial"/>
              <w:noProof/>
              <w:color w:val="auto"/>
              <w:szCs w:val="24"/>
              <w:lang w:val="es-MX" w:eastAsia="es-MX"/>
            </w:rPr>
          </w:pPr>
          <w:r w:rsidRPr="00F758D8">
            <w:rPr>
              <w:rFonts w:ascii="Arial" w:hAnsi="Arial" w:cs="Arial"/>
              <w:color w:val="auto"/>
              <w:szCs w:val="24"/>
            </w:rPr>
            <w:fldChar w:fldCharType="begin"/>
          </w:r>
          <w:r w:rsidRPr="00F758D8">
            <w:rPr>
              <w:rFonts w:ascii="Arial" w:hAnsi="Arial" w:cs="Arial"/>
              <w:color w:val="auto"/>
              <w:szCs w:val="24"/>
            </w:rPr>
            <w:instrText xml:space="preserve"> TOC \o "1-3" \h \z \u </w:instrText>
          </w:r>
          <w:r w:rsidRPr="00F758D8">
            <w:rPr>
              <w:rFonts w:ascii="Arial" w:hAnsi="Arial" w:cs="Arial"/>
              <w:color w:val="auto"/>
              <w:szCs w:val="24"/>
            </w:rPr>
            <w:fldChar w:fldCharType="separate"/>
          </w:r>
          <w:hyperlink w:anchor="_Toc30675483" w:history="1">
            <w:r w:rsidRPr="00F758D8">
              <w:rPr>
                <w:rStyle w:val="Hipervnculo"/>
                <w:rFonts w:ascii="Arial" w:hAnsi="Arial" w:cs="Arial"/>
                <w:noProof/>
                <w:color w:val="auto"/>
                <w:szCs w:val="24"/>
              </w:rPr>
              <w:t>1.</w:t>
            </w:r>
            <w:r w:rsidRPr="00F758D8">
              <w:rPr>
                <w:rFonts w:ascii="Arial" w:hAnsi="Arial" w:cs="Arial"/>
                <w:noProof/>
                <w:color w:val="auto"/>
                <w:szCs w:val="24"/>
                <w:lang w:val="es-MX" w:eastAsia="es-MX"/>
              </w:rPr>
              <w:tab/>
            </w:r>
            <w:r w:rsidRPr="00F758D8">
              <w:rPr>
                <w:rStyle w:val="Hipervnculo"/>
                <w:rFonts w:ascii="Arial" w:hAnsi="Arial" w:cs="Arial"/>
                <w:noProof/>
                <w:color w:val="auto"/>
                <w:szCs w:val="24"/>
              </w:rPr>
              <w:t>TESIS AISLADAS EN MATERIA LABORAL</w:t>
            </w:r>
            <w:r w:rsidRPr="00F758D8">
              <w:rPr>
                <w:rFonts w:ascii="Arial" w:hAnsi="Arial" w:cs="Arial"/>
                <w:noProof/>
                <w:webHidden/>
                <w:color w:val="auto"/>
                <w:szCs w:val="24"/>
              </w:rPr>
              <w:tab/>
            </w:r>
            <w:r w:rsidRPr="00F758D8">
              <w:rPr>
                <w:rFonts w:ascii="Arial" w:hAnsi="Arial" w:cs="Arial"/>
                <w:noProof/>
                <w:webHidden/>
                <w:color w:val="auto"/>
                <w:szCs w:val="24"/>
              </w:rPr>
              <w:fldChar w:fldCharType="begin"/>
            </w:r>
            <w:r w:rsidRPr="00F758D8">
              <w:rPr>
                <w:rFonts w:ascii="Arial" w:hAnsi="Arial" w:cs="Arial"/>
                <w:noProof/>
                <w:webHidden/>
                <w:color w:val="auto"/>
                <w:szCs w:val="24"/>
              </w:rPr>
              <w:instrText xml:space="preserve"> PAGEREF _Toc30675483 \h </w:instrText>
            </w:r>
            <w:r w:rsidRPr="00F758D8">
              <w:rPr>
                <w:rFonts w:ascii="Arial" w:hAnsi="Arial" w:cs="Arial"/>
                <w:noProof/>
                <w:webHidden/>
                <w:color w:val="auto"/>
                <w:szCs w:val="24"/>
              </w:rPr>
            </w:r>
            <w:r w:rsidRPr="00F758D8">
              <w:rPr>
                <w:rFonts w:ascii="Arial" w:hAnsi="Arial" w:cs="Arial"/>
                <w:noProof/>
                <w:webHidden/>
                <w:color w:val="auto"/>
                <w:szCs w:val="24"/>
              </w:rPr>
              <w:fldChar w:fldCharType="separate"/>
            </w:r>
            <w:r w:rsidRPr="00F758D8">
              <w:rPr>
                <w:rFonts w:ascii="Arial" w:hAnsi="Arial" w:cs="Arial"/>
                <w:noProof/>
                <w:webHidden/>
                <w:color w:val="auto"/>
                <w:szCs w:val="24"/>
              </w:rPr>
              <w:t>2</w:t>
            </w:r>
            <w:r w:rsidRPr="00F758D8">
              <w:rPr>
                <w:rFonts w:ascii="Arial" w:hAnsi="Arial" w:cs="Arial"/>
                <w:noProof/>
                <w:webHidden/>
                <w:color w:val="auto"/>
                <w:szCs w:val="24"/>
              </w:rPr>
              <w:fldChar w:fldCharType="end"/>
            </w:r>
          </w:hyperlink>
        </w:p>
        <w:p w:rsidR="00F758D8" w:rsidRPr="00F758D8" w:rsidRDefault="00F758D8" w:rsidP="00F758D8">
          <w:pPr>
            <w:pStyle w:val="TDC2"/>
            <w:tabs>
              <w:tab w:val="left" w:pos="880"/>
              <w:tab w:val="right" w:leader="dot" w:pos="8830"/>
            </w:tabs>
            <w:jc w:val="both"/>
            <w:rPr>
              <w:rFonts w:ascii="Arial" w:eastAsiaTheme="minorEastAsia" w:hAnsi="Arial" w:cs="Arial"/>
              <w:noProof/>
              <w:sz w:val="24"/>
              <w:szCs w:val="24"/>
              <w:lang w:eastAsia="es-MX"/>
            </w:rPr>
          </w:pPr>
          <w:hyperlink w:anchor="_Toc30675484" w:history="1">
            <w:r w:rsidRPr="00F758D8">
              <w:rPr>
                <w:rStyle w:val="Hipervnculo"/>
                <w:rFonts w:ascii="Arial" w:hAnsi="Arial" w:cs="Arial"/>
                <w:noProof/>
                <w:color w:val="auto"/>
                <w:sz w:val="24"/>
                <w:szCs w:val="24"/>
              </w:rPr>
              <w:t>1.1</w:t>
            </w:r>
            <w:r w:rsidRPr="00F758D8">
              <w:rPr>
                <w:rFonts w:ascii="Arial" w:eastAsiaTheme="minorEastAsia" w:hAnsi="Arial" w:cs="Arial"/>
                <w:noProof/>
                <w:sz w:val="24"/>
                <w:szCs w:val="24"/>
                <w:lang w:eastAsia="es-MX"/>
              </w:rPr>
              <w:tab/>
            </w:r>
            <w:r w:rsidRPr="00F758D8">
              <w:rPr>
                <w:rStyle w:val="Hipervnculo"/>
                <w:rFonts w:ascii="Arial" w:hAnsi="Arial" w:cs="Arial"/>
                <w:noProof/>
                <w:color w:val="auto"/>
                <w:sz w:val="24"/>
                <w:szCs w:val="24"/>
              </w:rPr>
              <w:t>PENSIÓN POR CAUSA DE MUERTE. EL ARTÍCULO 131, FRACCIÓN III, ÚLTIMA PARTE, DE LA LEY DEL INSTITUTO DE SEGURIDAD Y SERVICIOS SOCIALES DE LOS TRABAJADORES DEL ESTADO, AL NO CONSIDERAR PARA TENER DERECHO A ESE BENEFICIO A FAMILIARES SUSCEPTIBLES DE PROTECCIÓN QUE HUBIESEN DEPENDIDO ECONÓMICAMENTE DEL TRABAJADOR O PENSIONADO FALLECIDO, DISTINTOS DE SUS ASCENDIENTES, VIOLA LOS PRINCIPIOS CONSTITUCIONALES DE SEGURIDAD Y PREVISIÓN SOCIAL.</w:t>
            </w:r>
            <w:r w:rsidRPr="00F758D8">
              <w:rPr>
                <w:rFonts w:ascii="Arial" w:hAnsi="Arial" w:cs="Arial"/>
                <w:noProof/>
                <w:webHidden/>
                <w:sz w:val="24"/>
                <w:szCs w:val="24"/>
              </w:rPr>
              <w:tab/>
            </w:r>
            <w:r w:rsidRPr="00F758D8">
              <w:rPr>
                <w:rFonts w:ascii="Arial" w:hAnsi="Arial" w:cs="Arial"/>
                <w:noProof/>
                <w:webHidden/>
                <w:sz w:val="24"/>
                <w:szCs w:val="24"/>
              </w:rPr>
              <w:fldChar w:fldCharType="begin"/>
            </w:r>
            <w:r w:rsidRPr="00F758D8">
              <w:rPr>
                <w:rFonts w:ascii="Arial" w:hAnsi="Arial" w:cs="Arial"/>
                <w:noProof/>
                <w:webHidden/>
                <w:sz w:val="24"/>
                <w:szCs w:val="24"/>
              </w:rPr>
              <w:instrText xml:space="preserve"> PAGEREF _Toc30675484 \h </w:instrText>
            </w:r>
            <w:r w:rsidRPr="00F758D8">
              <w:rPr>
                <w:rFonts w:ascii="Arial" w:hAnsi="Arial" w:cs="Arial"/>
                <w:noProof/>
                <w:webHidden/>
                <w:sz w:val="24"/>
                <w:szCs w:val="24"/>
              </w:rPr>
            </w:r>
            <w:r w:rsidRPr="00F758D8">
              <w:rPr>
                <w:rFonts w:ascii="Arial" w:hAnsi="Arial" w:cs="Arial"/>
                <w:noProof/>
                <w:webHidden/>
                <w:sz w:val="24"/>
                <w:szCs w:val="24"/>
              </w:rPr>
              <w:fldChar w:fldCharType="separate"/>
            </w:r>
            <w:r w:rsidRPr="00F758D8">
              <w:rPr>
                <w:rFonts w:ascii="Arial" w:hAnsi="Arial" w:cs="Arial"/>
                <w:noProof/>
                <w:webHidden/>
                <w:sz w:val="24"/>
                <w:szCs w:val="24"/>
              </w:rPr>
              <w:t>2</w:t>
            </w:r>
            <w:r w:rsidRPr="00F758D8">
              <w:rPr>
                <w:rFonts w:ascii="Arial" w:hAnsi="Arial" w:cs="Arial"/>
                <w:noProof/>
                <w:webHidden/>
                <w:sz w:val="24"/>
                <w:szCs w:val="24"/>
              </w:rPr>
              <w:fldChar w:fldCharType="end"/>
            </w:r>
          </w:hyperlink>
        </w:p>
        <w:p w:rsidR="00F758D8" w:rsidRPr="00F758D8" w:rsidRDefault="00F758D8" w:rsidP="00F758D8">
          <w:pPr>
            <w:pStyle w:val="TDC2"/>
            <w:tabs>
              <w:tab w:val="left" w:pos="880"/>
              <w:tab w:val="right" w:leader="dot" w:pos="8830"/>
            </w:tabs>
            <w:jc w:val="both"/>
            <w:rPr>
              <w:rFonts w:ascii="Arial" w:eastAsiaTheme="minorEastAsia" w:hAnsi="Arial" w:cs="Arial"/>
              <w:noProof/>
              <w:sz w:val="24"/>
              <w:szCs w:val="24"/>
              <w:lang w:eastAsia="es-MX"/>
            </w:rPr>
          </w:pPr>
          <w:hyperlink w:anchor="_Toc30675485" w:history="1">
            <w:r w:rsidRPr="00F758D8">
              <w:rPr>
                <w:rStyle w:val="Hipervnculo"/>
                <w:rFonts w:ascii="Arial" w:hAnsi="Arial" w:cs="Arial"/>
                <w:noProof/>
                <w:color w:val="auto"/>
                <w:sz w:val="24"/>
                <w:szCs w:val="24"/>
              </w:rPr>
              <w:t>1.2</w:t>
            </w:r>
            <w:r w:rsidRPr="00F758D8">
              <w:rPr>
                <w:rFonts w:ascii="Arial" w:eastAsiaTheme="minorEastAsia" w:hAnsi="Arial" w:cs="Arial"/>
                <w:noProof/>
                <w:sz w:val="24"/>
                <w:szCs w:val="24"/>
                <w:lang w:eastAsia="es-MX"/>
              </w:rPr>
              <w:tab/>
            </w:r>
            <w:r w:rsidRPr="00F758D8">
              <w:rPr>
                <w:rStyle w:val="Hipervnculo"/>
                <w:rFonts w:ascii="Arial" w:hAnsi="Arial" w:cs="Arial"/>
                <w:noProof/>
                <w:color w:val="auto"/>
                <w:sz w:val="24"/>
                <w:szCs w:val="24"/>
              </w:rPr>
              <w:t>PENSIÓN POR CAUSA DE MUERTE. EL ARTÍCULO 131, FRACCIÓN III, ÚLTIMA PARTE, DE LA LEY DEL INSTITUTO DE SEGURIDAD Y SERVICIOS SOCIALES DE LOS TRABAJADORES DEL ESTADO, AL CIRCUNSCRIBIR EL DERECHO A ESE BENEFICIO A LOS DEPENDIENTES ECONÓMICOS QUE SEAN ASCENDIENTES DISTINTOS DEL PADRE Y/O DE LA MADRE DEL TRABAJADOR O PENSIONADO FALLECIDO, NO VIOLA EL DERECHO FUNDAMENTAL A LA IGUALDAD JURÍDICA.</w:t>
            </w:r>
            <w:r w:rsidRPr="00F758D8">
              <w:rPr>
                <w:rFonts w:ascii="Arial" w:hAnsi="Arial" w:cs="Arial"/>
                <w:noProof/>
                <w:webHidden/>
                <w:sz w:val="24"/>
                <w:szCs w:val="24"/>
              </w:rPr>
              <w:tab/>
            </w:r>
            <w:r w:rsidRPr="00F758D8">
              <w:rPr>
                <w:rFonts w:ascii="Arial" w:hAnsi="Arial" w:cs="Arial"/>
                <w:noProof/>
                <w:webHidden/>
                <w:sz w:val="24"/>
                <w:szCs w:val="24"/>
              </w:rPr>
              <w:fldChar w:fldCharType="begin"/>
            </w:r>
            <w:r w:rsidRPr="00F758D8">
              <w:rPr>
                <w:rFonts w:ascii="Arial" w:hAnsi="Arial" w:cs="Arial"/>
                <w:noProof/>
                <w:webHidden/>
                <w:sz w:val="24"/>
                <w:szCs w:val="24"/>
              </w:rPr>
              <w:instrText xml:space="preserve"> PAGEREF _Toc30675485 \h </w:instrText>
            </w:r>
            <w:r w:rsidRPr="00F758D8">
              <w:rPr>
                <w:rFonts w:ascii="Arial" w:hAnsi="Arial" w:cs="Arial"/>
                <w:noProof/>
                <w:webHidden/>
                <w:sz w:val="24"/>
                <w:szCs w:val="24"/>
              </w:rPr>
            </w:r>
            <w:r w:rsidRPr="00F758D8">
              <w:rPr>
                <w:rFonts w:ascii="Arial" w:hAnsi="Arial" w:cs="Arial"/>
                <w:noProof/>
                <w:webHidden/>
                <w:sz w:val="24"/>
                <w:szCs w:val="24"/>
              </w:rPr>
              <w:fldChar w:fldCharType="separate"/>
            </w:r>
            <w:r w:rsidRPr="00F758D8">
              <w:rPr>
                <w:rFonts w:ascii="Arial" w:hAnsi="Arial" w:cs="Arial"/>
                <w:noProof/>
                <w:webHidden/>
                <w:sz w:val="24"/>
                <w:szCs w:val="24"/>
              </w:rPr>
              <w:t>4</w:t>
            </w:r>
            <w:r w:rsidRPr="00F758D8">
              <w:rPr>
                <w:rFonts w:ascii="Arial" w:hAnsi="Arial" w:cs="Arial"/>
                <w:noProof/>
                <w:webHidden/>
                <w:sz w:val="24"/>
                <w:szCs w:val="24"/>
              </w:rPr>
              <w:fldChar w:fldCharType="end"/>
            </w:r>
          </w:hyperlink>
        </w:p>
        <w:p w:rsidR="00F758D8" w:rsidRPr="00F758D8" w:rsidRDefault="00F758D8" w:rsidP="00F758D8">
          <w:pPr>
            <w:pStyle w:val="TDC2"/>
            <w:tabs>
              <w:tab w:val="left" w:pos="880"/>
              <w:tab w:val="right" w:leader="dot" w:pos="8830"/>
            </w:tabs>
            <w:jc w:val="both"/>
            <w:rPr>
              <w:rFonts w:ascii="Arial" w:eastAsiaTheme="minorEastAsia" w:hAnsi="Arial" w:cs="Arial"/>
              <w:noProof/>
              <w:sz w:val="24"/>
              <w:szCs w:val="24"/>
              <w:lang w:eastAsia="es-MX"/>
            </w:rPr>
          </w:pPr>
          <w:hyperlink w:anchor="_Toc30675486" w:history="1">
            <w:r w:rsidRPr="00F758D8">
              <w:rPr>
                <w:rStyle w:val="Hipervnculo"/>
                <w:rFonts w:ascii="Arial" w:hAnsi="Arial" w:cs="Arial"/>
                <w:noProof/>
                <w:color w:val="auto"/>
                <w:sz w:val="24"/>
                <w:szCs w:val="24"/>
              </w:rPr>
              <w:t>1.3</w:t>
            </w:r>
            <w:r w:rsidRPr="00F758D8">
              <w:rPr>
                <w:rFonts w:ascii="Arial" w:eastAsiaTheme="minorEastAsia" w:hAnsi="Arial" w:cs="Arial"/>
                <w:noProof/>
                <w:sz w:val="24"/>
                <w:szCs w:val="24"/>
                <w:lang w:eastAsia="es-MX"/>
              </w:rPr>
              <w:tab/>
            </w:r>
            <w:r w:rsidRPr="00F758D8">
              <w:rPr>
                <w:rStyle w:val="Hipervnculo"/>
                <w:rFonts w:ascii="Arial" w:hAnsi="Arial" w:cs="Arial"/>
                <w:noProof/>
                <w:color w:val="auto"/>
                <w:sz w:val="24"/>
                <w:szCs w:val="24"/>
              </w:rPr>
              <w:t>INCIDENTE DE NULIDAD DE NOTIFICACIONES EN MATERIA LABORAL. SU PROMOCIÓN NO SUSPENDE EL PROCEDIMIENTO.</w:t>
            </w:r>
            <w:r w:rsidRPr="00F758D8">
              <w:rPr>
                <w:rFonts w:ascii="Arial" w:hAnsi="Arial" w:cs="Arial"/>
                <w:noProof/>
                <w:webHidden/>
                <w:sz w:val="24"/>
                <w:szCs w:val="24"/>
              </w:rPr>
              <w:tab/>
            </w:r>
            <w:r w:rsidRPr="00F758D8">
              <w:rPr>
                <w:rFonts w:ascii="Arial" w:hAnsi="Arial" w:cs="Arial"/>
                <w:noProof/>
                <w:webHidden/>
                <w:sz w:val="24"/>
                <w:szCs w:val="24"/>
              </w:rPr>
              <w:fldChar w:fldCharType="begin"/>
            </w:r>
            <w:r w:rsidRPr="00F758D8">
              <w:rPr>
                <w:rFonts w:ascii="Arial" w:hAnsi="Arial" w:cs="Arial"/>
                <w:noProof/>
                <w:webHidden/>
                <w:sz w:val="24"/>
                <w:szCs w:val="24"/>
              </w:rPr>
              <w:instrText xml:space="preserve"> PAGEREF _Toc30675486 \h </w:instrText>
            </w:r>
            <w:r w:rsidRPr="00F758D8">
              <w:rPr>
                <w:rFonts w:ascii="Arial" w:hAnsi="Arial" w:cs="Arial"/>
                <w:noProof/>
                <w:webHidden/>
                <w:sz w:val="24"/>
                <w:szCs w:val="24"/>
              </w:rPr>
            </w:r>
            <w:r w:rsidRPr="00F758D8">
              <w:rPr>
                <w:rFonts w:ascii="Arial" w:hAnsi="Arial" w:cs="Arial"/>
                <w:noProof/>
                <w:webHidden/>
                <w:sz w:val="24"/>
                <w:szCs w:val="24"/>
              </w:rPr>
              <w:fldChar w:fldCharType="separate"/>
            </w:r>
            <w:r w:rsidRPr="00F758D8">
              <w:rPr>
                <w:rFonts w:ascii="Arial" w:hAnsi="Arial" w:cs="Arial"/>
                <w:noProof/>
                <w:webHidden/>
                <w:sz w:val="24"/>
                <w:szCs w:val="24"/>
              </w:rPr>
              <w:t>6</w:t>
            </w:r>
            <w:r w:rsidRPr="00F758D8">
              <w:rPr>
                <w:rFonts w:ascii="Arial" w:hAnsi="Arial" w:cs="Arial"/>
                <w:noProof/>
                <w:webHidden/>
                <w:sz w:val="24"/>
                <w:szCs w:val="24"/>
              </w:rPr>
              <w:fldChar w:fldCharType="end"/>
            </w:r>
          </w:hyperlink>
        </w:p>
        <w:p w:rsidR="00F758D8" w:rsidRPr="00F758D8" w:rsidRDefault="00F758D8" w:rsidP="00F758D8">
          <w:pPr>
            <w:pStyle w:val="TDC1"/>
            <w:tabs>
              <w:tab w:val="left" w:pos="440"/>
              <w:tab w:val="right" w:leader="dot" w:pos="8830"/>
            </w:tabs>
            <w:jc w:val="both"/>
            <w:rPr>
              <w:rFonts w:ascii="Arial" w:hAnsi="Arial" w:cs="Arial"/>
              <w:noProof/>
              <w:color w:val="auto"/>
              <w:szCs w:val="24"/>
              <w:lang w:val="es-MX" w:eastAsia="es-MX"/>
            </w:rPr>
          </w:pPr>
          <w:hyperlink w:anchor="_Toc30675487" w:history="1">
            <w:r w:rsidRPr="00F758D8">
              <w:rPr>
                <w:rStyle w:val="Hipervnculo"/>
                <w:rFonts w:ascii="Arial" w:hAnsi="Arial" w:cs="Arial"/>
                <w:noProof/>
                <w:color w:val="auto"/>
                <w:szCs w:val="24"/>
              </w:rPr>
              <w:t>2.</w:t>
            </w:r>
            <w:r w:rsidRPr="00F758D8">
              <w:rPr>
                <w:rFonts w:ascii="Arial" w:hAnsi="Arial" w:cs="Arial"/>
                <w:noProof/>
                <w:color w:val="auto"/>
                <w:szCs w:val="24"/>
                <w:lang w:val="es-MX" w:eastAsia="es-MX"/>
              </w:rPr>
              <w:tab/>
            </w:r>
            <w:r w:rsidRPr="00F758D8">
              <w:rPr>
                <w:rStyle w:val="Hipervnculo"/>
                <w:rFonts w:ascii="Arial" w:hAnsi="Arial" w:cs="Arial"/>
                <w:noProof/>
                <w:color w:val="auto"/>
                <w:szCs w:val="24"/>
              </w:rPr>
              <w:t>FUENTES CONSULTADAS</w:t>
            </w:r>
            <w:r w:rsidRPr="00F758D8">
              <w:rPr>
                <w:rFonts w:ascii="Arial" w:hAnsi="Arial" w:cs="Arial"/>
                <w:noProof/>
                <w:webHidden/>
                <w:color w:val="auto"/>
                <w:szCs w:val="24"/>
              </w:rPr>
              <w:tab/>
            </w:r>
            <w:r w:rsidRPr="00F758D8">
              <w:rPr>
                <w:rFonts w:ascii="Arial" w:hAnsi="Arial" w:cs="Arial"/>
                <w:noProof/>
                <w:webHidden/>
                <w:color w:val="auto"/>
                <w:szCs w:val="24"/>
              </w:rPr>
              <w:fldChar w:fldCharType="begin"/>
            </w:r>
            <w:r w:rsidRPr="00F758D8">
              <w:rPr>
                <w:rFonts w:ascii="Arial" w:hAnsi="Arial" w:cs="Arial"/>
                <w:noProof/>
                <w:webHidden/>
                <w:color w:val="auto"/>
                <w:szCs w:val="24"/>
              </w:rPr>
              <w:instrText xml:space="preserve"> PAGEREF _Toc30675487 \h </w:instrText>
            </w:r>
            <w:r w:rsidRPr="00F758D8">
              <w:rPr>
                <w:rFonts w:ascii="Arial" w:hAnsi="Arial" w:cs="Arial"/>
                <w:noProof/>
                <w:webHidden/>
                <w:color w:val="auto"/>
                <w:szCs w:val="24"/>
              </w:rPr>
            </w:r>
            <w:r w:rsidRPr="00F758D8">
              <w:rPr>
                <w:rFonts w:ascii="Arial" w:hAnsi="Arial" w:cs="Arial"/>
                <w:noProof/>
                <w:webHidden/>
                <w:color w:val="auto"/>
                <w:szCs w:val="24"/>
              </w:rPr>
              <w:fldChar w:fldCharType="separate"/>
            </w:r>
            <w:r w:rsidRPr="00F758D8">
              <w:rPr>
                <w:rFonts w:ascii="Arial" w:hAnsi="Arial" w:cs="Arial"/>
                <w:noProof/>
                <w:webHidden/>
                <w:color w:val="auto"/>
                <w:szCs w:val="24"/>
              </w:rPr>
              <w:t>7</w:t>
            </w:r>
            <w:r w:rsidRPr="00F758D8">
              <w:rPr>
                <w:rFonts w:ascii="Arial" w:hAnsi="Arial" w:cs="Arial"/>
                <w:noProof/>
                <w:webHidden/>
                <w:color w:val="auto"/>
                <w:szCs w:val="24"/>
              </w:rPr>
              <w:fldChar w:fldCharType="end"/>
            </w:r>
          </w:hyperlink>
        </w:p>
        <w:p w:rsidR="00F758D8" w:rsidRPr="00F758D8" w:rsidRDefault="00F758D8" w:rsidP="00F758D8">
          <w:pPr>
            <w:pStyle w:val="TDC2"/>
            <w:tabs>
              <w:tab w:val="left" w:pos="880"/>
              <w:tab w:val="right" w:leader="dot" w:pos="8830"/>
            </w:tabs>
            <w:jc w:val="both"/>
            <w:rPr>
              <w:rFonts w:ascii="Arial" w:eastAsiaTheme="minorEastAsia" w:hAnsi="Arial" w:cs="Arial"/>
              <w:noProof/>
              <w:sz w:val="24"/>
              <w:szCs w:val="24"/>
              <w:lang w:eastAsia="es-MX"/>
            </w:rPr>
          </w:pPr>
          <w:hyperlink w:anchor="_Toc30675488" w:history="1">
            <w:r w:rsidRPr="00F758D8">
              <w:rPr>
                <w:rStyle w:val="Hipervnculo"/>
                <w:rFonts w:ascii="Arial" w:hAnsi="Arial" w:cs="Arial"/>
                <w:noProof/>
                <w:color w:val="auto"/>
                <w:sz w:val="24"/>
                <w:szCs w:val="24"/>
              </w:rPr>
              <w:t>2.1</w:t>
            </w:r>
            <w:r w:rsidRPr="00F758D8">
              <w:rPr>
                <w:rFonts w:ascii="Arial" w:eastAsiaTheme="minorEastAsia" w:hAnsi="Arial" w:cs="Arial"/>
                <w:noProof/>
                <w:sz w:val="24"/>
                <w:szCs w:val="24"/>
                <w:lang w:eastAsia="es-MX"/>
              </w:rPr>
              <w:tab/>
            </w:r>
            <w:r w:rsidRPr="00F758D8">
              <w:rPr>
                <w:rStyle w:val="Hipervnculo"/>
                <w:rFonts w:ascii="Arial" w:hAnsi="Arial" w:cs="Arial"/>
                <w:noProof/>
                <w:color w:val="auto"/>
                <w:sz w:val="24"/>
                <w:szCs w:val="24"/>
              </w:rPr>
              <w:t>CIBEROGRÁFICA:</w:t>
            </w:r>
            <w:r w:rsidRPr="00F758D8">
              <w:rPr>
                <w:rFonts w:ascii="Arial" w:hAnsi="Arial" w:cs="Arial"/>
                <w:noProof/>
                <w:webHidden/>
                <w:sz w:val="24"/>
                <w:szCs w:val="24"/>
              </w:rPr>
              <w:tab/>
            </w:r>
            <w:r w:rsidRPr="00F758D8">
              <w:rPr>
                <w:rFonts w:ascii="Arial" w:hAnsi="Arial" w:cs="Arial"/>
                <w:noProof/>
                <w:webHidden/>
                <w:sz w:val="24"/>
                <w:szCs w:val="24"/>
              </w:rPr>
              <w:fldChar w:fldCharType="begin"/>
            </w:r>
            <w:r w:rsidRPr="00F758D8">
              <w:rPr>
                <w:rFonts w:ascii="Arial" w:hAnsi="Arial" w:cs="Arial"/>
                <w:noProof/>
                <w:webHidden/>
                <w:sz w:val="24"/>
                <w:szCs w:val="24"/>
              </w:rPr>
              <w:instrText xml:space="preserve"> PAGEREF _Toc30675488 \h </w:instrText>
            </w:r>
            <w:r w:rsidRPr="00F758D8">
              <w:rPr>
                <w:rFonts w:ascii="Arial" w:hAnsi="Arial" w:cs="Arial"/>
                <w:noProof/>
                <w:webHidden/>
                <w:sz w:val="24"/>
                <w:szCs w:val="24"/>
              </w:rPr>
            </w:r>
            <w:r w:rsidRPr="00F758D8">
              <w:rPr>
                <w:rFonts w:ascii="Arial" w:hAnsi="Arial" w:cs="Arial"/>
                <w:noProof/>
                <w:webHidden/>
                <w:sz w:val="24"/>
                <w:szCs w:val="24"/>
              </w:rPr>
              <w:fldChar w:fldCharType="separate"/>
            </w:r>
            <w:r w:rsidRPr="00F758D8">
              <w:rPr>
                <w:rFonts w:ascii="Arial" w:hAnsi="Arial" w:cs="Arial"/>
                <w:noProof/>
                <w:webHidden/>
                <w:sz w:val="24"/>
                <w:szCs w:val="24"/>
              </w:rPr>
              <w:t>7</w:t>
            </w:r>
            <w:r w:rsidRPr="00F758D8">
              <w:rPr>
                <w:rFonts w:ascii="Arial" w:hAnsi="Arial" w:cs="Arial"/>
                <w:noProof/>
                <w:webHidden/>
                <w:sz w:val="24"/>
                <w:szCs w:val="24"/>
              </w:rPr>
              <w:fldChar w:fldCharType="end"/>
            </w:r>
          </w:hyperlink>
        </w:p>
        <w:p w:rsidR="00F758D8" w:rsidRPr="00F758D8" w:rsidRDefault="00F758D8" w:rsidP="00F758D8">
          <w:pPr>
            <w:pStyle w:val="TDC3"/>
            <w:tabs>
              <w:tab w:val="left" w:pos="1320"/>
              <w:tab w:val="right" w:leader="dot" w:pos="8830"/>
            </w:tabs>
            <w:jc w:val="both"/>
            <w:rPr>
              <w:rFonts w:ascii="Arial" w:eastAsiaTheme="minorEastAsia" w:hAnsi="Arial" w:cs="Arial"/>
              <w:noProof/>
              <w:sz w:val="24"/>
              <w:szCs w:val="24"/>
              <w:lang w:eastAsia="es-MX"/>
            </w:rPr>
          </w:pPr>
          <w:hyperlink w:anchor="_Toc30675489" w:history="1">
            <w:r w:rsidRPr="00F758D8">
              <w:rPr>
                <w:rStyle w:val="Hipervnculo"/>
                <w:rFonts w:ascii="Arial" w:hAnsi="Arial" w:cs="Arial"/>
                <w:noProof/>
                <w:color w:val="auto"/>
                <w:sz w:val="24"/>
                <w:szCs w:val="24"/>
              </w:rPr>
              <w:t>2.1.1</w:t>
            </w:r>
            <w:r w:rsidRPr="00F758D8">
              <w:rPr>
                <w:rFonts w:ascii="Arial" w:eastAsiaTheme="minorEastAsia" w:hAnsi="Arial" w:cs="Arial"/>
                <w:noProof/>
                <w:sz w:val="24"/>
                <w:szCs w:val="24"/>
                <w:lang w:eastAsia="es-MX"/>
              </w:rPr>
              <w:tab/>
            </w:r>
            <w:r w:rsidRPr="00F758D8">
              <w:rPr>
                <w:rStyle w:val="Hipervnculo"/>
                <w:rFonts w:ascii="Arial" w:hAnsi="Arial" w:cs="Arial"/>
                <w:noProof/>
                <w:color w:val="auto"/>
                <w:sz w:val="24"/>
                <w:szCs w:val="24"/>
              </w:rPr>
              <w:t>SEMANARIO JUDICIAL DE LA FEDERACIÓN</w:t>
            </w:r>
            <w:r w:rsidRPr="00F758D8">
              <w:rPr>
                <w:rFonts w:ascii="Arial" w:hAnsi="Arial" w:cs="Arial"/>
                <w:noProof/>
                <w:webHidden/>
                <w:sz w:val="24"/>
                <w:szCs w:val="24"/>
              </w:rPr>
              <w:tab/>
            </w:r>
            <w:r w:rsidRPr="00F758D8">
              <w:rPr>
                <w:rFonts w:ascii="Arial" w:hAnsi="Arial" w:cs="Arial"/>
                <w:noProof/>
                <w:webHidden/>
                <w:sz w:val="24"/>
                <w:szCs w:val="24"/>
              </w:rPr>
              <w:fldChar w:fldCharType="begin"/>
            </w:r>
            <w:r w:rsidRPr="00F758D8">
              <w:rPr>
                <w:rFonts w:ascii="Arial" w:hAnsi="Arial" w:cs="Arial"/>
                <w:noProof/>
                <w:webHidden/>
                <w:sz w:val="24"/>
                <w:szCs w:val="24"/>
              </w:rPr>
              <w:instrText xml:space="preserve"> PAGEREF _Toc30675489 \h </w:instrText>
            </w:r>
            <w:r w:rsidRPr="00F758D8">
              <w:rPr>
                <w:rFonts w:ascii="Arial" w:hAnsi="Arial" w:cs="Arial"/>
                <w:noProof/>
                <w:webHidden/>
                <w:sz w:val="24"/>
                <w:szCs w:val="24"/>
              </w:rPr>
            </w:r>
            <w:r w:rsidRPr="00F758D8">
              <w:rPr>
                <w:rFonts w:ascii="Arial" w:hAnsi="Arial" w:cs="Arial"/>
                <w:noProof/>
                <w:webHidden/>
                <w:sz w:val="24"/>
                <w:szCs w:val="24"/>
              </w:rPr>
              <w:fldChar w:fldCharType="separate"/>
            </w:r>
            <w:r w:rsidRPr="00F758D8">
              <w:rPr>
                <w:rFonts w:ascii="Arial" w:hAnsi="Arial" w:cs="Arial"/>
                <w:noProof/>
                <w:webHidden/>
                <w:sz w:val="24"/>
                <w:szCs w:val="24"/>
              </w:rPr>
              <w:t>7</w:t>
            </w:r>
            <w:r w:rsidRPr="00F758D8">
              <w:rPr>
                <w:rFonts w:ascii="Arial" w:hAnsi="Arial" w:cs="Arial"/>
                <w:noProof/>
                <w:webHidden/>
                <w:sz w:val="24"/>
                <w:szCs w:val="24"/>
              </w:rPr>
              <w:fldChar w:fldCharType="end"/>
            </w:r>
          </w:hyperlink>
        </w:p>
        <w:p w:rsidR="00F758D8" w:rsidRDefault="00F758D8" w:rsidP="00F758D8">
          <w:pPr>
            <w:jc w:val="both"/>
          </w:pPr>
          <w:r w:rsidRPr="00F758D8">
            <w:rPr>
              <w:rFonts w:ascii="Arial" w:hAnsi="Arial" w:cs="Arial"/>
              <w:b/>
              <w:bCs/>
              <w:color w:val="auto"/>
              <w:szCs w:val="24"/>
            </w:rPr>
            <w:fldChar w:fldCharType="end"/>
          </w:r>
        </w:p>
      </w:sdtContent>
    </w:sdt>
    <w:p w:rsidR="00F758D8" w:rsidRDefault="00F758D8">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F758D8" w:rsidRPr="00F758D8" w:rsidRDefault="00F758D8" w:rsidP="00F758D8">
      <w:pPr>
        <w:pStyle w:val="Ttulo1"/>
        <w:numPr>
          <w:ilvl w:val="0"/>
          <w:numId w:val="7"/>
        </w:numPr>
        <w:jc w:val="center"/>
        <w:rPr>
          <w:rFonts w:ascii="Arial" w:hAnsi="Arial" w:cs="Arial"/>
          <w:color w:val="B35E06" w:themeColor="accent1" w:themeShade="BF"/>
          <w:sz w:val="36"/>
          <w:szCs w:val="36"/>
        </w:rPr>
      </w:pPr>
      <w:bookmarkStart w:id="0" w:name="_Toc30675483"/>
      <w:bookmarkStart w:id="1" w:name="_GoBack"/>
      <w:bookmarkEnd w:id="1"/>
      <w:r w:rsidRPr="00F758D8">
        <w:rPr>
          <w:rFonts w:ascii="Arial" w:hAnsi="Arial" w:cs="Arial"/>
          <w:color w:val="B35E06" w:themeColor="accent1" w:themeShade="BF"/>
          <w:sz w:val="36"/>
          <w:szCs w:val="36"/>
        </w:rPr>
        <w:lastRenderedPageBreak/>
        <w:t>TESIS AISLADAS EN MATERIA LABORAL</w:t>
      </w:r>
      <w:bookmarkEnd w:id="0"/>
    </w:p>
    <w:p w:rsidR="00F758D8" w:rsidRDefault="00F758D8" w:rsidP="00F677DE">
      <w:pPr>
        <w:spacing w:after="0" w:line="240" w:lineRule="auto"/>
        <w:jc w:val="both"/>
        <w:rPr>
          <w:rFonts w:ascii="Arial" w:hAnsi="Arial" w:cs="Arial"/>
          <w:color w:val="auto"/>
        </w:rPr>
      </w:pPr>
    </w:p>
    <w:p w:rsidR="001E5191" w:rsidRPr="002011EA" w:rsidRDefault="00F758D8" w:rsidP="00F677DE">
      <w:pPr>
        <w:spacing w:after="0" w:line="240" w:lineRule="auto"/>
        <w:jc w:val="both"/>
        <w:rPr>
          <w:rFonts w:ascii="Arial" w:hAnsi="Arial" w:cs="Arial"/>
          <w:color w:val="auto"/>
        </w:rPr>
      </w:pPr>
      <w:r>
        <w:rPr>
          <w:rFonts w:ascii="Arial" w:hAnsi="Arial" w:cs="Arial"/>
          <w:color w:val="auto"/>
        </w:rPr>
        <w:t xml:space="preserve">1. </w:t>
      </w:r>
      <w:r w:rsidR="001E5191" w:rsidRPr="002011EA">
        <w:rPr>
          <w:rFonts w:ascii="Arial" w:hAnsi="Arial" w:cs="Arial"/>
          <w:color w:val="auto"/>
        </w:rPr>
        <w:t xml:space="preserve">Época: Décima Época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Registro: 2021424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Instancia: Tribunales Colegiados de Circuito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Tipo de Tesis: Aislada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Fuente: Semanario Judicial de la Federación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Publicación: viernes 17 de enero de 2020 10:18 h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Materia(s): (Constitucional) </w:t>
      </w: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Tesis: I.7o.A.175 A (10a.) </w:t>
      </w:r>
    </w:p>
    <w:p w:rsidR="001E5191" w:rsidRPr="002011EA" w:rsidRDefault="001E5191" w:rsidP="00F677DE">
      <w:pPr>
        <w:spacing w:after="0" w:line="240" w:lineRule="auto"/>
        <w:jc w:val="both"/>
        <w:rPr>
          <w:rFonts w:ascii="Arial" w:hAnsi="Arial" w:cs="Arial"/>
          <w:color w:val="auto"/>
        </w:rPr>
      </w:pPr>
    </w:p>
    <w:p w:rsidR="001E5191" w:rsidRPr="00F758D8" w:rsidRDefault="001E5191" w:rsidP="00F758D8">
      <w:pPr>
        <w:pStyle w:val="Ttulo2"/>
        <w:jc w:val="both"/>
        <w:rPr>
          <w:rFonts w:ascii="Arial" w:hAnsi="Arial" w:cs="Arial"/>
          <w:color w:val="B35E06" w:themeColor="accent1" w:themeShade="BF"/>
          <w:sz w:val="26"/>
          <w:szCs w:val="26"/>
        </w:rPr>
      </w:pPr>
      <w:bookmarkStart w:id="2" w:name="_Toc30675484"/>
      <w:r w:rsidRPr="00F758D8">
        <w:rPr>
          <w:rFonts w:ascii="Arial" w:hAnsi="Arial" w:cs="Arial"/>
          <w:color w:val="B35E06" w:themeColor="accent1" w:themeShade="BF"/>
          <w:sz w:val="26"/>
          <w:szCs w:val="26"/>
        </w:rPr>
        <w:t>PENSIÓN POR CAUSA DE MUERTE. EL ARTÍCULO 131, FRACCIÓN III, ÚLTIMA PARTE, DE LA LEY DEL INSTITUTO DE SEGURIDAD Y SERVICIOS SOCIALES DE LOS TRABAJADORES DEL ESTADO, AL NO CONSIDERAR PARA TENER DERECHO A ESE BENEFICIO A FAMILIARES SUSCEPTIBLES DE PROTECCIÓN QUE HUBIESEN DEPENDIDO ECONÓMICAMENTE DEL TRABAJADOR O PENSIONADO FALLECIDO, DISTINTOS DE SUS ASCENDIENTES, VIOLA LOS PRINCIPIOS CONSTITUCIONALES DE SEGURIDAD Y PREVISIÓN SOCIAL.</w:t>
      </w:r>
      <w:r w:rsidR="00F758D8">
        <w:rPr>
          <w:rStyle w:val="Refdenotaalpie"/>
          <w:rFonts w:ascii="Arial" w:hAnsi="Arial" w:cs="Arial"/>
          <w:color w:val="B35E06" w:themeColor="accent1" w:themeShade="BF"/>
          <w:sz w:val="26"/>
          <w:szCs w:val="26"/>
        </w:rPr>
        <w:footnoteReference w:id="1"/>
      </w:r>
      <w:bookmarkEnd w:id="2"/>
    </w:p>
    <w:p w:rsidR="001E5191" w:rsidRPr="002011EA" w:rsidRDefault="001E5191" w:rsidP="00F677DE">
      <w:pPr>
        <w:spacing w:after="0" w:line="240" w:lineRule="auto"/>
        <w:jc w:val="both"/>
        <w:rPr>
          <w:rFonts w:ascii="Arial" w:hAnsi="Arial" w:cs="Arial"/>
          <w:color w:val="auto"/>
        </w:rPr>
      </w:pP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El artículo 123, apartado B, fracción XI, inciso a), de la Constitución Política de los Estados Unidos Mexicanos no sólo contiene las bases mínimas de la seguridad social para los trabajadores al servicio del Estado, sino que de él también deriva el principio de previsión social, sustentado en la obligación de establecer un sistema íntegro que otorgue tranquilidad y bienestar personal a los trabajadores y a sus familias, ante los riesgos a que están expuestos, orientados a procurar el mejoramiento de su calidad de vida. Por su parte, el artículo 4o., primer párrafo, constitucional reconoce el derecho fundamental a la protección de la familia (su organización y desarrollo), concebida en un sentido amplio, esto es, entendida como realidad social, lo que significa que esa protección debe cubrir todas sus formas y manifestaciones existentes en la sociedad, sea cual sea la forma en que se constituya, por lo que esa protección es la que debe garantizar el legislador ordinario, sin encontrarse sujeto a una concepción predeterminada. En estas </w:t>
      </w:r>
      <w:r w:rsidRPr="002011EA">
        <w:rPr>
          <w:rFonts w:ascii="Arial" w:hAnsi="Arial" w:cs="Arial"/>
          <w:color w:val="auto"/>
        </w:rPr>
        <w:lastRenderedPageBreak/>
        <w:t>condiciones, el artículo 131, fracción III, última parte, de la Ley del Instituto de Seguridad y Servicios Sociales de los Trabajadores del Estado, al establecer que los familiares derechohabientes que tienen derecho a gozar de una pensión por causa de muerte, a falta de cónyuge, hijos, concubina o concubinario, madre o padre del trabajador o pensionado fallecido, serán únicamente los demás ascendientes, en caso de que hubiesen dependido económicamente del trabajador o pensionado, sin considerar otro tipo de parentescos susceptibles de protección, viola los principios constitucionales de seguridad y previsión social. Lo anterior, porque la pensión por causa de muerte no es una concesión gratuita o generosa, sino que constituye un seguro que se activa con la muerte del trabajador o pensionado y deriva directamente de las aportaciones que éste realizó por determinado número de años y una de las finalidades de éstas es garantizar, aunque sea en parte, la subsistencia de su familia después de su muerte; de ahí que el disfrute de ese derecho busca hacer efectivo el principio de previsión social, orientado a otorgar tranquilidad y bienestar a los familiares del trabajador o pensionado muerto, por lo que no se advierte justificación alguna para restringir el acceso a ese tipo de pensiones a integrantes de la familia diversos del cónyuge, hijos, concubina o concubinario, madre o padre o demás ascendientes quienes, además de acreditar una dependencia económica formaban parte de un mismo núcleo familiar, sustentado en principios de solidaridad, asistencia y ayuda mutua que responden a vínculos sanguíneos y afectivos que deben ser protegidos.</w:t>
      </w:r>
    </w:p>
    <w:p w:rsidR="001E5191" w:rsidRPr="002011EA" w:rsidRDefault="001E5191" w:rsidP="00F677DE">
      <w:pPr>
        <w:spacing w:after="0" w:line="240" w:lineRule="auto"/>
        <w:jc w:val="both"/>
        <w:rPr>
          <w:rFonts w:ascii="Arial" w:hAnsi="Arial" w:cs="Arial"/>
          <w:color w:val="auto"/>
        </w:rPr>
      </w:pP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SÉPTIMO TRIBUNAL COLEGIADO EN MATERIA ADMINISTRATIVA DEL PRIMER CIRCUITO.</w:t>
      </w:r>
    </w:p>
    <w:p w:rsidR="001E5191" w:rsidRPr="002011EA" w:rsidRDefault="001E5191" w:rsidP="00F677DE">
      <w:pPr>
        <w:spacing w:after="0" w:line="240" w:lineRule="auto"/>
        <w:jc w:val="both"/>
        <w:rPr>
          <w:rFonts w:ascii="Arial" w:hAnsi="Arial" w:cs="Arial"/>
          <w:color w:val="auto"/>
        </w:rPr>
      </w:pP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Amparo directo 615/2018. Celia Pineda Ramírez. 23 de octubre de 2019. Unanimidad de votos. Ponente: Sandra de Jesús Zúñiga, secretaria de tribunal autorizada por la Comisión de Carrera Judicial del Consejo de la Judicatura Federal para desempeñar las funciones de Magistrada. Secretario: Alejandro Lucero de la Rosa.</w:t>
      </w:r>
    </w:p>
    <w:p w:rsidR="001E5191" w:rsidRPr="002011EA" w:rsidRDefault="001E5191" w:rsidP="00F677DE">
      <w:pPr>
        <w:spacing w:after="0" w:line="240" w:lineRule="auto"/>
        <w:jc w:val="both"/>
        <w:rPr>
          <w:rFonts w:ascii="Arial" w:hAnsi="Arial" w:cs="Arial"/>
          <w:color w:val="auto"/>
        </w:rPr>
      </w:pPr>
    </w:p>
    <w:p w:rsidR="001E5191" w:rsidRPr="002011EA" w:rsidRDefault="001E5191" w:rsidP="00F677DE">
      <w:pPr>
        <w:spacing w:after="0" w:line="240" w:lineRule="auto"/>
        <w:jc w:val="both"/>
        <w:rPr>
          <w:rFonts w:ascii="Arial" w:hAnsi="Arial" w:cs="Arial"/>
          <w:color w:val="auto"/>
        </w:rPr>
      </w:pPr>
      <w:r w:rsidRPr="002011EA">
        <w:rPr>
          <w:rFonts w:ascii="Arial" w:hAnsi="Arial" w:cs="Arial"/>
          <w:color w:val="auto"/>
        </w:rPr>
        <w:t xml:space="preserve">Nota: Esta tesis refleja un criterio firme sustentado por un Tribunal Colegiado de Circuito al resolver un juicio de amparo directo, por lo que atendiendo a la tesis P. LX/98, publicada en el Semanario Judicial de la Federación y su Gaceta, Novena Época, Tomo VIII, septiembre de 1998, página 56, con número de registro digital: 195528, de rubro: "TRIBUNALES COLEGIADOS DE CIRCUITO. AUNQUE LAS CONSIDERACIONES SOBRE CONSTITUCIONALIDAD DE LEYES QUE EFECTÚAN EN LOS JUICIOS DE AMPARO DIRECTO, NO SON APTAS PARA </w:t>
      </w:r>
      <w:r w:rsidRPr="002011EA">
        <w:rPr>
          <w:rFonts w:ascii="Arial" w:hAnsi="Arial" w:cs="Arial"/>
          <w:color w:val="auto"/>
        </w:rPr>
        <w:lastRenderedPageBreak/>
        <w:t>INTEGRAR JURISPRUDENCIA, RESULTA ÚTIL LA PUBLICACIÓN DE LOS CRITERIOS.", no es obligatorio ni apto para integrar jurisprudencia.</w:t>
      </w:r>
    </w:p>
    <w:p w:rsidR="001E5191" w:rsidRPr="002011EA" w:rsidRDefault="001E5191" w:rsidP="00F677DE">
      <w:pPr>
        <w:spacing w:after="0" w:line="240" w:lineRule="auto"/>
        <w:jc w:val="both"/>
        <w:rPr>
          <w:rFonts w:ascii="Arial" w:hAnsi="Arial" w:cs="Arial"/>
          <w:color w:val="auto"/>
        </w:rPr>
      </w:pPr>
    </w:p>
    <w:p w:rsidR="00F677DE" w:rsidRPr="002011EA" w:rsidRDefault="00F677DE" w:rsidP="00F677DE">
      <w:pPr>
        <w:spacing w:after="0" w:line="240" w:lineRule="auto"/>
        <w:jc w:val="both"/>
        <w:rPr>
          <w:rFonts w:ascii="Arial" w:hAnsi="Arial" w:cs="Arial"/>
          <w:color w:val="auto"/>
        </w:rPr>
      </w:pPr>
    </w:p>
    <w:p w:rsidR="00F677DE" w:rsidRPr="002011EA" w:rsidRDefault="00F758D8" w:rsidP="00F677DE">
      <w:pPr>
        <w:spacing w:after="0" w:line="240" w:lineRule="auto"/>
        <w:jc w:val="both"/>
        <w:rPr>
          <w:rFonts w:ascii="Arial" w:hAnsi="Arial" w:cs="Arial"/>
          <w:color w:val="auto"/>
        </w:rPr>
      </w:pPr>
      <w:r>
        <w:rPr>
          <w:rFonts w:ascii="Arial" w:hAnsi="Arial" w:cs="Arial"/>
          <w:color w:val="auto"/>
        </w:rPr>
        <w:t xml:space="preserve">2. </w:t>
      </w:r>
      <w:r w:rsidR="00F677DE" w:rsidRPr="002011EA">
        <w:rPr>
          <w:rFonts w:ascii="Arial" w:hAnsi="Arial" w:cs="Arial"/>
          <w:color w:val="auto"/>
        </w:rPr>
        <w:t xml:space="preserve">Época: Décima Época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Registro: 2021423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Instancia: Tribunales Colegiados de Circuito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Tipo de Tesis: Aislada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Fuente: Semanario Judicial de la Federación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Publicación: viernes 17 de enero de 2020 10:18 h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Materia(s): (Constitucional) </w:t>
      </w: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Tesis: I.7o.A.174 A (10a.) </w:t>
      </w:r>
    </w:p>
    <w:p w:rsidR="00F677DE" w:rsidRPr="002011EA" w:rsidRDefault="00F677DE" w:rsidP="00F677DE">
      <w:pPr>
        <w:spacing w:after="0" w:line="240" w:lineRule="auto"/>
        <w:jc w:val="both"/>
        <w:rPr>
          <w:rFonts w:ascii="Arial" w:hAnsi="Arial" w:cs="Arial"/>
          <w:color w:val="auto"/>
        </w:rPr>
      </w:pPr>
    </w:p>
    <w:p w:rsidR="00F677DE" w:rsidRPr="00F758D8" w:rsidRDefault="00F677DE" w:rsidP="00F758D8">
      <w:pPr>
        <w:pStyle w:val="Ttulo2"/>
        <w:jc w:val="both"/>
        <w:rPr>
          <w:rFonts w:ascii="Arial" w:hAnsi="Arial" w:cs="Arial"/>
          <w:color w:val="B35E06" w:themeColor="accent1" w:themeShade="BF"/>
          <w:sz w:val="26"/>
          <w:szCs w:val="26"/>
        </w:rPr>
      </w:pPr>
      <w:bookmarkStart w:id="3" w:name="_Toc30675485"/>
      <w:r w:rsidRPr="00F758D8">
        <w:rPr>
          <w:rFonts w:ascii="Arial" w:hAnsi="Arial" w:cs="Arial"/>
          <w:color w:val="B35E06" w:themeColor="accent1" w:themeShade="BF"/>
          <w:sz w:val="26"/>
          <w:szCs w:val="26"/>
        </w:rPr>
        <w:t>PENSIÓN POR CAUSA DE MUERTE. EL ARTÍCULO 131, FRACCIÓN III, ÚLTIMA PARTE, DE LA LEY DEL INSTITUTO DE SEGURIDAD Y SERVICIOS SOCIALES DE LOS TRABAJADORES DEL ESTADO, AL CIRCUNSCRIBIR EL DERECHO A ESE BENEFICIO A LOS DEPENDIENTES ECONÓMICOS QUE SEAN ASCENDIENTES DISTINTOS DEL PADRE Y/O DE LA MADRE DEL TRABAJADOR O PENSIONADO FALLECIDO, NO VIOLA EL DERECHO FUNDAMENTAL A LA IGUALDAD JURÍDICA.</w:t>
      </w:r>
      <w:r w:rsidR="00F758D8">
        <w:rPr>
          <w:rStyle w:val="Refdenotaalpie"/>
          <w:rFonts w:ascii="Arial" w:hAnsi="Arial" w:cs="Arial"/>
          <w:color w:val="B35E06" w:themeColor="accent1" w:themeShade="BF"/>
          <w:sz w:val="26"/>
          <w:szCs w:val="26"/>
        </w:rPr>
        <w:footnoteReference w:id="2"/>
      </w:r>
      <w:bookmarkEnd w:id="3"/>
    </w:p>
    <w:p w:rsidR="00F677DE" w:rsidRPr="00F758D8" w:rsidRDefault="00F677DE" w:rsidP="00F758D8">
      <w:pPr>
        <w:spacing w:after="0" w:line="240" w:lineRule="auto"/>
        <w:jc w:val="both"/>
        <w:rPr>
          <w:rFonts w:ascii="Arial" w:hAnsi="Arial" w:cs="Arial"/>
          <w:color w:val="B35E06" w:themeColor="accent1" w:themeShade="BF"/>
          <w:sz w:val="26"/>
          <w:szCs w:val="26"/>
        </w:rPr>
      </w:pP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 xml:space="preserve">El derecho fundamental mencionado, previsto en el artículo 1o. de la Constitución Política de los Estados Unidos Mexicanos, implica que todos los gobernados deben recibir el mismo trato respecto de quienes se ubican en similar situación de hecho, así como un mandato de tratamiento desigual, que obliga al legislador a establecer diferencias entre supuestos de hecho distintos. Ahora, conforme al artículo 131 de la Ley del Instituto de Seguridad y Servicios Sociales de los Trabajadores del Estado, tienen derecho a obtener una pensión por causa de muerte (de la persona que haya originado la pensión) los familiares derechohabientes siguientes: el cónyuge supérstite, la concubina o concubinario, los hijos, la madre o el padre o, en términos de su fracción III, última parte, los demás ascendientes cuando hayan dependido económicamente del trabajador o pensionado, en el orden y bajo las circunstancias ahí descritas. Así, dicha disposición legal circunscribe el derecho de acceder a la pensión por causa de </w:t>
      </w:r>
      <w:r w:rsidRPr="002011EA">
        <w:rPr>
          <w:rFonts w:ascii="Arial" w:hAnsi="Arial" w:cs="Arial"/>
          <w:color w:val="auto"/>
        </w:rPr>
        <w:lastRenderedPageBreak/>
        <w:t>muerte del trabajador o pensionado, a los familiares derechohabientes expresamente previstos, particularmente, para el caso de quienes hubiesen dependido económicamente de éste, en favor de los ascendientes diversos del padre y/o de la madre, descartando la posibilidad de que ese beneficio de seguridad social sea otorgado a personas diversas respecto de las cuales también exista un vínculo estrecho de parentesco y que dependiesen económicamente de aquél. En estas condiciones, el precepto 131 citado no viola el derecho fundamental señalado, porque otorga un trato distinto a personas que se encuentran en situaciones jurídicas diversas, esto es, la ley presume que los ascendientes distintos del padre y/o de la madre que dependan económicamente del trabajador o pensionado fallecido (abuelos, bisabuelos, tatarabuelos) no se encuentran en una misma situación jurídica que otras personas que también dependían económicamente de éste, dado que aquéllos, por lo general, pertenecen a un segmento de la población considerado como "adultos mayores", quienes por razón de su edad constituyen un grupo vulnerable susceptible de protección especial por el legislador, ya que su avanzada edad los coloca con frecuencia en una situación de dependencia familiar, discriminación e, incluso, abandono.</w:t>
      </w:r>
    </w:p>
    <w:p w:rsidR="00F677DE" w:rsidRPr="002011EA" w:rsidRDefault="00F677DE" w:rsidP="00F677DE">
      <w:pPr>
        <w:spacing w:after="0" w:line="240" w:lineRule="auto"/>
        <w:jc w:val="both"/>
        <w:rPr>
          <w:rFonts w:ascii="Arial" w:hAnsi="Arial" w:cs="Arial"/>
          <w:color w:val="auto"/>
        </w:rPr>
      </w:pP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SÉPTIMO TRIBUNAL COLEGIADO EN MATERIA ADMINISTRATIVA DEL PRIMER CIRCUITO.</w:t>
      </w:r>
    </w:p>
    <w:p w:rsidR="00F677DE" w:rsidRPr="002011EA" w:rsidRDefault="00F677DE" w:rsidP="00F677DE">
      <w:pPr>
        <w:spacing w:after="0" w:line="240" w:lineRule="auto"/>
        <w:jc w:val="both"/>
        <w:rPr>
          <w:rFonts w:ascii="Arial" w:hAnsi="Arial" w:cs="Arial"/>
          <w:color w:val="auto"/>
        </w:rPr>
      </w:pP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Amparo directo 615/2018. Celia Pineda Ramírez. 23 de octubre de 2019. Unanimidad de votos. Ponente: Sandra de Jesús Zúñiga, secretaria de tribunal autorizada por la Comisión de Carrera Judicial del Consejo de la Judicatura Federal para desempeñar las funciones de Magistrada. Secretario: Alejandro Lucero de la Rosa.</w:t>
      </w:r>
    </w:p>
    <w:p w:rsidR="00F677DE" w:rsidRPr="002011EA" w:rsidRDefault="00F677DE" w:rsidP="00F677DE">
      <w:pPr>
        <w:spacing w:after="0" w:line="240" w:lineRule="auto"/>
        <w:jc w:val="both"/>
        <w:rPr>
          <w:rFonts w:ascii="Arial" w:hAnsi="Arial" w:cs="Arial"/>
          <w:color w:val="auto"/>
        </w:rPr>
      </w:pPr>
    </w:p>
    <w:p w:rsidR="00F677DE" w:rsidRPr="002011EA" w:rsidRDefault="00F677DE" w:rsidP="00F677DE">
      <w:pPr>
        <w:spacing w:after="0" w:line="240" w:lineRule="auto"/>
        <w:jc w:val="both"/>
        <w:rPr>
          <w:rFonts w:ascii="Arial" w:hAnsi="Arial" w:cs="Arial"/>
          <w:color w:val="auto"/>
        </w:rPr>
      </w:pPr>
      <w:r w:rsidRPr="002011EA">
        <w:rPr>
          <w:rFonts w:ascii="Arial" w:hAnsi="Arial" w:cs="Arial"/>
          <w:color w:val="auto"/>
        </w:rPr>
        <w:t>Nota: Esta tesis refleja un criterio firme sustentado por un Tribunal Colegiado de Circuito al resolver un juicio de amparo directo, por lo que atendiendo a la tesis P. LX/98, publicada en el Semanario Judicial de la Federación y su Gaceta, Novena Época, Tomo VIII, septiembre de 1998, página 56, con número de registro digital: 195528, de rubro: "TRIBUNALES COLEGIADOS DE CIRCUITO. AUNQUE LAS CONSIDERACIONES SOBRE CONSTITUCIONALIDAD DE LEYES QUE EFECTÚAN EN LOS JUICIOS DE AMPARO DIRECTO, NO SON APTAS PARA INTEGRAR JURISPRUDENCIA, RESULTA ÚTIL LA PUBLICACIÓN DE LOS CRITERIOS.", no es obligatorio ni apto para integrar jurisprudencia.</w:t>
      </w:r>
    </w:p>
    <w:p w:rsidR="00F677DE" w:rsidRPr="002011EA" w:rsidRDefault="00F677DE" w:rsidP="00F677DE">
      <w:pPr>
        <w:spacing w:after="0" w:line="240" w:lineRule="auto"/>
        <w:jc w:val="both"/>
        <w:rPr>
          <w:rFonts w:ascii="Arial" w:hAnsi="Arial" w:cs="Arial"/>
          <w:color w:val="auto"/>
        </w:rPr>
      </w:pPr>
    </w:p>
    <w:p w:rsidR="00F758D8" w:rsidRDefault="00F758D8" w:rsidP="002011EA">
      <w:pPr>
        <w:spacing w:after="0" w:line="240" w:lineRule="auto"/>
        <w:jc w:val="both"/>
        <w:rPr>
          <w:rFonts w:ascii="Arial" w:hAnsi="Arial" w:cs="Arial"/>
          <w:color w:val="auto"/>
        </w:rPr>
      </w:pPr>
    </w:p>
    <w:p w:rsidR="002011EA" w:rsidRPr="002011EA" w:rsidRDefault="00F758D8" w:rsidP="002011EA">
      <w:pPr>
        <w:spacing w:after="0" w:line="240" w:lineRule="auto"/>
        <w:jc w:val="both"/>
        <w:rPr>
          <w:rFonts w:ascii="Arial" w:hAnsi="Arial" w:cs="Arial"/>
          <w:color w:val="auto"/>
        </w:rPr>
      </w:pPr>
      <w:r>
        <w:rPr>
          <w:rFonts w:ascii="Arial" w:hAnsi="Arial" w:cs="Arial"/>
          <w:color w:val="auto"/>
        </w:rPr>
        <w:lastRenderedPageBreak/>
        <w:t xml:space="preserve">3. </w:t>
      </w:r>
      <w:r w:rsidR="002011EA" w:rsidRPr="002011EA">
        <w:rPr>
          <w:rFonts w:ascii="Arial" w:hAnsi="Arial" w:cs="Arial"/>
          <w:color w:val="auto"/>
        </w:rPr>
        <w:t xml:space="preserve">Época: Décima Época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Registro: 2021416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Instancia: Tribunales Colegiados de Circuito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Tipo de Tesis: Aislada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Fuente: Semanario Judicial de la Federación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Publicación: viernes 17 de enero de 2020 10:18 h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Materia(s): (Laboral) </w:t>
      </w: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Tesis: (XI Región</w:t>
      </w:r>
      <w:proofErr w:type="gramStart"/>
      <w:r w:rsidRPr="002011EA">
        <w:rPr>
          <w:rFonts w:ascii="Arial" w:hAnsi="Arial" w:cs="Arial"/>
          <w:color w:val="auto"/>
        </w:rPr>
        <w:t>)1o.7</w:t>
      </w:r>
      <w:proofErr w:type="gramEnd"/>
      <w:r w:rsidRPr="002011EA">
        <w:rPr>
          <w:rFonts w:ascii="Arial" w:hAnsi="Arial" w:cs="Arial"/>
          <w:color w:val="auto"/>
        </w:rPr>
        <w:t xml:space="preserve"> L (10a.) </w:t>
      </w:r>
    </w:p>
    <w:p w:rsidR="002011EA" w:rsidRPr="002011EA" w:rsidRDefault="002011EA" w:rsidP="002011EA">
      <w:pPr>
        <w:spacing w:after="0" w:line="240" w:lineRule="auto"/>
        <w:jc w:val="both"/>
        <w:rPr>
          <w:rFonts w:ascii="Arial" w:hAnsi="Arial" w:cs="Arial"/>
          <w:color w:val="auto"/>
        </w:rPr>
      </w:pPr>
    </w:p>
    <w:p w:rsidR="002011EA" w:rsidRPr="00F758D8" w:rsidRDefault="002011EA" w:rsidP="00F758D8">
      <w:pPr>
        <w:pStyle w:val="Ttulo2"/>
        <w:jc w:val="both"/>
        <w:rPr>
          <w:rFonts w:ascii="Arial" w:hAnsi="Arial" w:cs="Arial"/>
          <w:sz w:val="26"/>
          <w:szCs w:val="26"/>
        </w:rPr>
      </w:pPr>
      <w:bookmarkStart w:id="4" w:name="_Toc30675486"/>
      <w:r w:rsidRPr="00F758D8">
        <w:rPr>
          <w:rFonts w:ascii="Arial" w:hAnsi="Arial" w:cs="Arial"/>
          <w:color w:val="B35E06" w:themeColor="accent1" w:themeShade="BF"/>
          <w:sz w:val="26"/>
          <w:szCs w:val="26"/>
        </w:rPr>
        <w:t>INCIDENTE DE NULIDAD DE NOTIFICACIONES EN MATERIA LABORAL. SU PROMOCIÓN NO SUSPENDE EL PROCEDIMIENTO.</w:t>
      </w:r>
      <w:bookmarkEnd w:id="4"/>
    </w:p>
    <w:p w:rsidR="002011EA" w:rsidRPr="002011EA" w:rsidRDefault="002011EA" w:rsidP="002011EA">
      <w:pPr>
        <w:spacing w:after="0" w:line="240" w:lineRule="auto"/>
        <w:jc w:val="both"/>
        <w:rPr>
          <w:rFonts w:ascii="Arial" w:hAnsi="Arial" w:cs="Arial"/>
          <w:color w:val="auto"/>
        </w:rPr>
      </w:pP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De la interpretación histórica, sistemática y conforme de los artículos 17 de la Constitución Política de los Estados Unidos Mexicanos; 761, 762 y 763 de la Ley Federal del Trabajo, se colige que si bien el incidente de nulidad de notificaciones es de previo y especial pronunciamiento, ello sólo debe entenderse en el sentido de que guarda relación inmediata con el juicio principal, y debe ser resuelto de manera previa al dictado del laudo que decida el fondo del asunto, es decir, no suspende el procedimiento, el cual deberá continuar hasta que sea el momento de dictar el laudo respectivo, que será cuando, en su caso, debe evitarse tal pronunciamiento. Ello se corrobora del artículo 725 de la Ley Federal del Trabajo (antes de su reforma de 4 de enero de 1980), que preveía expresamente la posibilidad de que la Junta ordenara la suspensión del procedimiento ante la promoción de un incidente; sin embargo, el legislador suprimió dicha facultad de las Juntas, al redactar las nuevas reglas de sustanciación y resolución de los incidentes. Estimar lo contrario, sería tanto como dejar al arbitrio de las partes la promoción indefinida de tales incidentes, con el único objeto de paralizar el procedimiento laboral, lo cual contravendría el objeto y finalidad establecidos en el artículo 17 aludido.</w:t>
      </w:r>
    </w:p>
    <w:p w:rsidR="002011EA" w:rsidRPr="002011EA" w:rsidRDefault="002011EA" w:rsidP="002011EA">
      <w:pPr>
        <w:spacing w:after="0" w:line="240" w:lineRule="auto"/>
        <w:jc w:val="both"/>
        <w:rPr>
          <w:rFonts w:ascii="Arial" w:hAnsi="Arial" w:cs="Arial"/>
          <w:color w:val="auto"/>
        </w:rPr>
      </w:pP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PRIMER TRIBUNAL COLEGIADO DE CIRCUITO DEL CENTRO AUXILIAR DE LA DECIMOPRIMERA REGIÓN, CON RESIDENCIA EN COATZACOALCOS, VERACRUZ.</w:t>
      </w:r>
    </w:p>
    <w:p w:rsidR="002011EA" w:rsidRPr="002011EA" w:rsidRDefault="002011EA" w:rsidP="002011EA">
      <w:pPr>
        <w:spacing w:after="0" w:line="240" w:lineRule="auto"/>
        <w:jc w:val="both"/>
        <w:rPr>
          <w:rFonts w:ascii="Arial" w:hAnsi="Arial" w:cs="Arial"/>
          <w:color w:val="auto"/>
        </w:rPr>
      </w:pP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 xml:space="preserve">Amparo directo 39/2019 (cuaderno auxiliar 369/2019) del índice del Tribunal Colegiado del Vigésimo Tercer Circuito, con apoyo del Primer Tribunal Colegiado de Circuito del Centro Auxiliar de la Decimoprimera Región, con residencia en Coatzacoalcos, Veracruz. Benjamín de la Rosa Ibarra. 10 de octubre de 2019. </w:t>
      </w:r>
      <w:r w:rsidRPr="002011EA">
        <w:rPr>
          <w:rFonts w:ascii="Arial" w:hAnsi="Arial" w:cs="Arial"/>
          <w:color w:val="auto"/>
        </w:rPr>
        <w:lastRenderedPageBreak/>
        <w:t xml:space="preserve">Unanimidad de votos. Ponente: Carlos Aldo Vargas </w:t>
      </w:r>
      <w:proofErr w:type="spellStart"/>
      <w:r w:rsidRPr="002011EA">
        <w:rPr>
          <w:rFonts w:ascii="Arial" w:hAnsi="Arial" w:cs="Arial"/>
          <w:color w:val="auto"/>
        </w:rPr>
        <w:t>Eguiarte</w:t>
      </w:r>
      <w:proofErr w:type="spellEnd"/>
      <w:r w:rsidRPr="002011EA">
        <w:rPr>
          <w:rFonts w:ascii="Arial" w:hAnsi="Arial" w:cs="Arial"/>
          <w:color w:val="auto"/>
        </w:rPr>
        <w:t>. Secretario: Gabriel Ruiz Ortega.</w:t>
      </w:r>
    </w:p>
    <w:p w:rsidR="002011EA" w:rsidRPr="002011EA" w:rsidRDefault="002011EA" w:rsidP="002011EA">
      <w:pPr>
        <w:spacing w:after="0" w:line="240" w:lineRule="auto"/>
        <w:jc w:val="both"/>
        <w:rPr>
          <w:rFonts w:ascii="Arial" w:hAnsi="Arial" w:cs="Arial"/>
          <w:color w:val="auto"/>
        </w:rPr>
      </w:pPr>
    </w:p>
    <w:p w:rsidR="002011EA" w:rsidRPr="002011EA" w:rsidRDefault="002011EA" w:rsidP="002011EA">
      <w:pPr>
        <w:spacing w:after="0" w:line="240" w:lineRule="auto"/>
        <w:jc w:val="both"/>
        <w:rPr>
          <w:rFonts w:ascii="Arial" w:hAnsi="Arial" w:cs="Arial"/>
          <w:color w:val="auto"/>
        </w:rPr>
      </w:pPr>
      <w:r w:rsidRPr="002011EA">
        <w:rPr>
          <w:rFonts w:ascii="Arial" w:hAnsi="Arial" w:cs="Arial"/>
          <w:color w:val="auto"/>
        </w:rPr>
        <w:t>Nota: El criterio contenido en esta tesis es objeto de la denuncia relativa a la contradicción de tesis 490/2019, pendiente de resolverse por la Segunda Sala.</w:t>
      </w:r>
    </w:p>
    <w:p w:rsidR="002011EA" w:rsidRPr="002011EA" w:rsidRDefault="002011EA" w:rsidP="002011EA">
      <w:pPr>
        <w:spacing w:after="0" w:line="240" w:lineRule="auto"/>
        <w:jc w:val="both"/>
        <w:rPr>
          <w:rFonts w:ascii="Arial" w:hAnsi="Arial" w:cs="Arial"/>
          <w:color w:val="auto"/>
        </w:rPr>
      </w:pPr>
    </w:p>
    <w:p w:rsidR="007C2B1C" w:rsidRPr="00F758D8" w:rsidRDefault="007C2B1C" w:rsidP="00F758D8">
      <w:pPr>
        <w:pStyle w:val="Ttulo1"/>
        <w:numPr>
          <w:ilvl w:val="0"/>
          <w:numId w:val="11"/>
        </w:numPr>
        <w:spacing w:line="360" w:lineRule="auto"/>
        <w:jc w:val="center"/>
        <w:rPr>
          <w:rFonts w:ascii="Arial" w:hAnsi="Arial" w:cs="Arial"/>
          <w:color w:val="B35E06" w:themeColor="accent1" w:themeShade="BF"/>
          <w:sz w:val="36"/>
          <w:szCs w:val="36"/>
        </w:rPr>
      </w:pPr>
      <w:bookmarkStart w:id="5" w:name="_Toc22039258"/>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3479248"/>
      <w:bookmarkStart w:id="18" w:name="_Toc13479882"/>
      <w:bookmarkStart w:id="19" w:name="_Toc13480931"/>
      <w:bookmarkStart w:id="20" w:name="_Toc15894289"/>
      <w:bookmarkStart w:id="21" w:name="_Toc15988715"/>
      <w:bookmarkStart w:id="22" w:name="_Toc16507517"/>
      <w:bookmarkStart w:id="23" w:name="_Toc21951268"/>
      <w:bookmarkStart w:id="24" w:name="_Toc21956617"/>
      <w:bookmarkStart w:id="25" w:name="_Toc21957333"/>
      <w:bookmarkStart w:id="26" w:name="_Toc22037644"/>
      <w:bookmarkStart w:id="27" w:name="_Toc22042399"/>
      <w:bookmarkStart w:id="28" w:name="_Toc22043913"/>
      <w:bookmarkStart w:id="29" w:name="_Toc30675487"/>
      <w:r w:rsidRPr="00F758D8">
        <w:rPr>
          <w:rFonts w:ascii="Arial" w:hAnsi="Arial" w:cs="Arial"/>
          <w:color w:val="B35E06" w:themeColor="accent1" w:themeShade="BF"/>
          <w:sz w:val="36"/>
          <w:szCs w:val="36"/>
        </w:rPr>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7C2B1C" w:rsidRDefault="007C2B1C" w:rsidP="007C2B1C">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7C2B1C" w:rsidRDefault="007C2B1C" w:rsidP="007C2B1C">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C2B1C" w:rsidRDefault="007C2B1C" w:rsidP="007C2B1C">
      <w:pPr>
        <w:pStyle w:val="Ttulo2"/>
        <w:spacing w:line="360" w:lineRule="auto"/>
        <w:jc w:val="center"/>
        <w:rPr>
          <w:rFonts w:ascii="Arial" w:hAnsi="Arial" w:cs="Arial"/>
          <w:vanish/>
          <w:color w:val="B35E06" w:themeColor="accent1" w:themeShade="BF"/>
        </w:rPr>
      </w:pPr>
      <w:bookmarkStart w:id="72" w:name="_Toc22039259"/>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037645"/>
      <w:bookmarkStart w:id="92" w:name="_Toc22042400"/>
      <w:bookmarkStart w:id="93" w:name="_Toc22043914"/>
      <w:bookmarkStart w:id="94" w:name="_Toc30675488"/>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5" w:name="_Toc524446387"/>
      <w:bookmarkStart w:id="96" w:name="_Toc524519068"/>
      <w:bookmarkStart w:id="97" w:name="_Toc524519163"/>
      <w:bookmarkStart w:id="98" w:name="_Toc524446390"/>
      <w:bookmarkStart w:id="99" w:name="_Toc524519071"/>
      <w:bookmarkStart w:id="100"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7C2B1C" w:rsidRDefault="007C2B1C" w:rsidP="007C2B1C">
      <w:pPr>
        <w:spacing w:after="0" w:line="360" w:lineRule="auto"/>
        <w:jc w:val="center"/>
        <w:rPr>
          <w:rFonts w:ascii="Arial" w:hAnsi="Arial" w:cs="Arial"/>
          <w:color w:val="B35E06" w:themeColor="accent1" w:themeShade="BF"/>
          <w:szCs w:val="24"/>
        </w:rPr>
      </w:pPr>
      <w:bookmarkStart w:id="101" w:name="_Toc524947297"/>
      <w:bookmarkStart w:id="102" w:name="_Toc525683586"/>
      <w:bookmarkStart w:id="103" w:name="_Toc525686134"/>
      <w:bookmarkStart w:id="104" w:name="_Toc525808260"/>
      <w:bookmarkStart w:id="105" w:name="_Toc525808291"/>
      <w:bookmarkStart w:id="106" w:name="_Toc525808454"/>
      <w:bookmarkStart w:id="107" w:name="_Toc524947298"/>
      <w:bookmarkStart w:id="108" w:name="_Toc525683587"/>
      <w:bookmarkStart w:id="109" w:name="_Toc525686135"/>
      <w:bookmarkStart w:id="110" w:name="_Toc525808261"/>
      <w:bookmarkStart w:id="111" w:name="_Toc525808292"/>
      <w:bookmarkStart w:id="112" w:name="_Toc525808455"/>
      <w:bookmarkStart w:id="113" w:name="_Toc524947299"/>
      <w:bookmarkStart w:id="114" w:name="_Toc525683588"/>
      <w:bookmarkStart w:id="115" w:name="_Toc525686136"/>
      <w:bookmarkStart w:id="116" w:name="_Toc525808262"/>
      <w:bookmarkStart w:id="117" w:name="_Toc525808293"/>
      <w:bookmarkStart w:id="118" w:name="_Toc525808456"/>
      <w:bookmarkStart w:id="119" w:name="_Toc524947300"/>
      <w:bookmarkStart w:id="120" w:name="_Toc525683589"/>
      <w:bookmarkStart w:id="121" w:name="_Toc525808294"/>
      <w:bookmarkStart w:id="122" w:name="_Toc525808457"/>
      <w:bookmarkStart w:id="123" w:name="_Toc53050378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7C2B1C" w:rsidRDefault="007C2B1C" w:rsidP="007C2B1C">
      <w:pPr>
        <w:pStyle w:val="Ttulo3"/>
        <w:jc w:val="center"/>
        <w:rPr>
          <w:rFonts w:ascii="Arial" w:hAnsi="Arial" w:cs="Arial"/>
          <w:b w:val="0"/>
          <w:color w:val="B35E06" w:themeColor="accent1" w:themeShade="BF"/>
        </w:rPr>
      </w:pPr>
      <w:bookmarkStart w:id="124" w:name="_Toc22039260"/>
      <w:bookmarkStart w:id="125" w:name="_Toc5371747"/>
      <w:bookmarkStart w:id="126" w:name="_Toc5263206"/>
      <w:bookmarkStart w:id="127" w:name="_Toc5180183"/>
      <w:bookmarkStart w:id="128" w:name="_Toc1380865"/>
      <w:bookmarkStart w:id="129" w:name="_Toc779020"/>
      <w:bookmarkStart w:id="130" w:name="_Toc536439469"/>
      <w:bookmarkStart w:id="131" w:name="_Toc338656"/>
      <w:bookmarkStart w:id="132" w:name="_Toc1379642"/>
      <w:bookmarkStart w:id="133" w:name="_Toc2071034"/>
      <w:bookmarkStart w:id="134" w:name="_Toc11316584"/>
      <w:bookmarkStart w:id="135" w:name="_Toc13479250"/>
      <w:bookmarkStart w:id="136" w:name="_Toc13479884"/>
      <w:bookmarkStart w:id="137" w:name="_Toc13480933"/>
      <w:bookmarkStart w:id="138" w:name="_Toc15894291"/>
      <w:bookmarkStart w:id="139" w:name="_Toc15988717"/>
      <w:bookmarkStart w:id="140" w:name="_Toc16507519"/>
      <w:bookmarkStart w:id="141" w:name="_Toc21951270"/>
      <w:bookmarkStart w:id="142" w:name="_Toc21956619"/>
      <w:bookmarkStart w:id="143" w:name="_Toc21957335"/>
      <w:bookmarkStart w:id="144" w:name="_Toc22037646"/>
      <w:bookmarkStart w:id="145" w:name="_Toc22042401"/>
      <w:bookmarkStart w:id="146" w:name="_Toc22043915"/>
      <w:bookmarkStart w:id="147" w:name="_Toc30675489"/>
      <w:r>
        <w:rPr>
          <w:rFonts w:ascii="Arial" w:hAnsi="Arial" w:cs="Arial"/>
          <w:b w:val="0"/>
          <w:color w:val="B35E06" w:themeColor="accent1" w:themeShade="BF"/>
        </w:rPr>
        <w:t>SEMANARIO JUDICIAL DE LA FEDERACIÓN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C2B1C" w:rsidRDefault="007C2B1C" w:rsidP="007C2B1C"/>
    <w:p w:rsidR="007C2B1C" w:rsidRDefault="007C2B1C" w:rsidP="007C2B1C">
      <w:pPr>
        <w:spacing w:after="0" w:line="240" w:lineRule="auto"/>
        <w:jc w:val="center"/>
        <w:rPr>
          <w:rFonts w:ascii="Arial" w:hAnsi="Arial" w:cs="Arial"/>
          <w:szCs w:val="24"/>
        </w:rPr>
      </w:pPr>
      <w:bookmarkStart w:id="148" w:name="_Toc525808458"/>
      <w:bookmarkStart w:id="149" w:name="_Toc525808295"/>
      <w:bookmarkStart w:id="150" w:name="_Toc525683590"/>
      <w:bookmarkStart w:id="151" w:name="_Toc524947301"/>
      <w:bookmarkStart w:id="152" w:name="_Toc530503785"/>
      <w:bookmarkEnd w:id="119"/>
      <w:bookmarkEnd w:id="120"/>
      <w:bookmarkEnd w:id="121"/>
      <w:bookmarkEnd w:id="122"/>
      <w:bookmarkEnd w:id="123"/>
      <w:r>
        <w:rPr>
          <w:rFonts w:ascii="Arial" w:hAnsi="Arial" w:cs="Arial"/>
          <w:bCs/>
          <w:szCs w:val="24"/>
        </w:rPr>
        <w:t>(https://sjf.scjn.gob.mx/SJFSem/Paginas/SemanarioV5.aspx</w:t>
      </w:r>
      <w:bookmarkEnd w:id="148"/>
      <w:bookmarkEnd w:id="149"/>
      <w:bookmarkEnd w:id="150"/>
      <w:bookmarkEnd w:id="151"/>
      <w:r>
        <w:rPr>
          <w:rFonts w:ascii="Arial" w:hAnsi="Arial" w:cs="Arial"/>
          <w:bCs/>
          <w:szCs w:val="24"/>
        </w:rPr>
        <w:t>)</w:t>
      </w:r>
      <w:bookmarkEnd w:id="152"/>
    </w:p>
    <w:p w:rsidR="007C2B1C" w:rsidRDefault="007C2B1C" w:rsidP="007C2B1C">
      <w:pPr>
        <w:spacing w:after="0" w:line="240" w:lineRule="auto"/>
        <w:jc w:val="both"/>
        <w:rPr>
          <w:rFonts w:ascii="Arial" w:hAnsi="Arial" w:cs="Arial"/>
          <w:szCs w:val="24"/>
        </w:rPr>
      </w:pPr>
    </w:p>
    <w:p w:rsidR="002011EA" w:rsidRPr="002011EA" w:rsidRDefault="002011EA" w:rsidP="002011EA">
      <w:pPr>
        <w:spacing w:after="0" w:line="240" w:lineRule="auto"/>
        <w:jc w:val="both"/>
        <w:rPr>
          <w:rFonts w:ascii="Arial" w:hAnsi="Arial" w:cs="Arial"/>
          <w:color w:val="auto"/>
        </w:rPr>
      </w:pPr>
    </w:p>
    <w:sectPr w:rsidR="002011EA" w:rsidRPr="002011EA"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8B" w:rsidRDefault="00DE6B8B">
      <w:pPr>
        <w:spacing w:after="0" w:line="240" w:lineRule="auto"/>
      </w:pPr>
      <w:r>
        <w:separator/>
      </w:r>
    </w:p>
  </w:endnote>
  <w:endnote w:type="continuationSeparator" w:id="0">
    <w:p w:rsidR="00DE6B8B" w:rsidRDefault="00DE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141F419" wp14:editId="1A3E4ADC">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8B" w:rsidRDefault="00DE6B8B">
      <w:pPr>
        <w:spacing w:after="0" w:line="240" w:lineRule="auto"/>
      </w:pPr>
      <w:r>
        <w:separator/>
      </w:r>
    </w:p>
  </w:footnote>
  <w:footnote w:type="continuationSeparator" w:id="0">
    <w:p w:rsidR="00DE6B8B" w:rsidRDefault="00DE6B8B">
      <w:pPr>
        <w:spacing w:after="0" w:line="240" w:lineRule="auto"/>
      </w:pPr>
      <w:r>
        <w:continuationSeparator/>
      </w:r>
    </w:p>
  </w:footnote>
  <w:footnote w:id="1">
    <w:p w:rsidR="00F758D8" w:rsidRPr="00F758D8" w:rsidRDefault="00F758D8" w:rsidP="00F758D8">
      <w:pPr>
        <w:spacing w:after="0" w:line="240" w:lineRule="auto"/>
        <w:jc w:val="both"/>
        <w:rPr>
          <w:rFonts w:ascii="Arial" w:hAnsi="Arial" w:cs="Arial"/>
          <w:color w:val="auto"/>
          <w:sz w:val="18"/>
          <w:szCs w:val="18"/>
        </w:rPr>
      </w:pPr>
      <w:r w:rsidRPr="00F758D8">
        <w:rPr>
          <w:rStyle w:val="Refdenotaalpie"/>
          <w:rFonts w:ascii="Arial" w:hAnsi="Arial" w:cs="Arial"/>
          <w:sz w:val="18"/>
          <w:szCs w:val="18"/>
        </w:rPr>
        <w:footnoteRef/>
      </w:r>
      <w:r w:rsidRPr="00F758D8">
        <w:rPr>
          <w:rFonts w:ascii="Arial" w:hAnsi="Arial" w:cs="Arial"/>
          <w:sz w:val="18"/>
          <w:szCs w:val="18"/>
        </w:rPr>
        <w:t xml:space="preserve"> </w:t>
      </w:r>
      <w:r w:rsidRPr="00F758D8">
        <w:rPr>
          <w:rFonts w:ascii="Arial" w:hAnsi="Arial" w:cs="Arial"/>
          <w:color w:val="auto"/>
          <w:sz w:val="18"/>
          <w:szCs w:val="18"/>
        </w:rPr>
        <w:t>Esta tesis aparece de igual manera en la compilación de tesis en materia constitucional y amparo.</w:t>
      </w:r>
    </w:p>
  </w:footnote>
  <w:footnote w:id="2">
    <w:p w:rsidR="00F758D8" w:rsidRPr="00F758D8" w:rsidRDefault="00F758D8" w:rsidP="00F758D8">
      <w:pPr>
        <w:spacing w:after="0" w:line="240" w:lineRule="auto"/>
        <w:jc w:val="both"/>
        <w:rPr>
          <w:rFonts w:ascii="Arial" w:hAnsi="Arial" w:cs="Arial"/>
          <w:color w:val="auto"/>
          <w:sz w:val="18"/>
          <w:szCs w:val="18"/>
        </w:rPr>
      </w:pPr>
      <w:r w:rsidRPr="00F758D8">
        <w:rPr>
          <w:rStyle w:val="Refdenotaalpie"/>
          <w:rFonts w:ascii="Arial" w:hAnsi="Arial" w:cs="Arial"/>
          <w:sz w:val="18"/>
          <w:szCs w:val="18"/>
        </w:rPr>
        <w:footnoteRef/>
      </w:r>
      <w:r w:rsidRPr="00F758D8">
        <w:rPr>
          <w:rFonts w:ascii="Arial" w:hAnsi="Arial" w:cs="Arial"/>
          <w:sz w:val="18"/>
          <w:szCs w:val="18"/>
        </w:rPr>
        <w:t xml:space="preserve"> </w:t>
      </w:r>
      <w:r w:rsidRPr="00F758D8">
        <w:rPr>
          <w:rFonts w:ascii="Arial" w:hAnsi="Arial" w:cs="Arial"/>
          <w:color w:val="auto"/>
          <w:sz w:val="18"/>
          <w:szCs w:val="18"/>
        </w:rPr>
        <w:t>Esta tesis aparece de igual manera en la compilación de tesis en materia constitucional y amparo</w:t>
      </w:r>
      <w:r w:rsidRPr="00F758D8">
        <w:rPr>
          <w:rFonts w:ascii="Arial" w:hAnsi="Arial" w:cs="Arial"/>
          <w:color w:val="auto"/>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525970C3" wp14:editId="4C47C7EC">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78CD95D4" wp14:editId="01F9D1D7">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67F3E744" wp14:editId="12FC0475">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6943C46F" wp14:editId="67D3BE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62D2AF9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1E5191"/>
    <w:rsid w:val="002011EA"/>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C2F6E"/>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C2B1C"/>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5402F"/>
    <w:rsid w:val="009603E6"/>
    <w:rsid w:val="00992480"/>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912E9"/>
    <w:rsid w:val="00CA6B4F"/>
    <w:rsid w:val="00CB208F"/>
    <w:rsid w:val="00CC0644"/>
    <w:rsid w:val="00CD28BF"/>
    <w:rsid w:val="00D30ED6"/>
    <w:rsid w:val="00D522B9"/>
    <w:rsid w:val="00D72CB4"/>
    <w:rsid w:val="00DA37BB"/>
    <w:rsid w:val="00DA4A43"/>
    <w:rsid w:val="00DA5BEB"/>
    <w:rsid w:val="00DB03AC"/>
    <w:rsid w:val="00DE395C"/>
    <w:rsid w:val="00DE6B8B"/>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677DE"/>
    <w:rsid w:val="00F758D8"/>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E1040-E1D4-4365-8492-77FBFFE7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7</Pages>
  <Words>1929</Words>
  <Characters>10610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2020-01-21T21:43:00Z</dcterms:created>
  <dcterms:modified xsi:type="dcterms:W3CDTF">2020-01-23T18:39:00Z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